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56" w:rsidRPr="009E3256" w:rsidRDefault="009E3256" w:rsidP="009E3256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325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9E02B6" wp14:editId="05DAD89D">
                <wp:simplePos x="0" y="0"/>
                <wp:positionH relativeFrom="column">
                  <wp:posOffset>3543300</wp:posOffset>
                </wp:positionH>
                <wp:positionV relativeFrom="paragraph">
                  <wp:posOffset>-342900</wp:posOffset>
                </wp:positionV>
                <wp:extent cx="2514600" cy="800100"/>
                <wp:effectExtent l="0" t="0" r="0" b="0"/>
                <wp:wrapThrough wrapText="bothSides">
                  <wp:wrapPolygon edited="0">
                    <wp:start x="327" y="0"/>
                    <wp:lineTo x="327" y="21086"/>
                    <wp:lineTo x="21109" y="21086"/>
                    <wp:lineTo x="21109" y="0"/>
                    <wp:lineTo x="327" y="0"/>
                  </wp:wrapPolygon>
                </wp:wrapThrough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3256" w:rsidRDefault="009E3256" w:rsidP="009E3256">
                            <w:pPr>
                              <w:pStyle w:val="a4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9pt;margin-top:-27pt;width:198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" filled="f" stroked="f">
                <v:textbox>
                  <w:txbxContent>
                    <w:p w:rsidR="009E3256" w:rsidRDefault="009E3256" w:rsidP="009E3256">
                      <w:pPr>
                        <w:pStyle w:val="a4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9E325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7B4A001" wp14:editId="276B1D35">
                <wp:simplePos x="0" y="0"/>
                <wp:positionH relativeFrom="column">
                  <wp:posOffset>0</wp:posOffset>
                </wp:positionH>
                <wp:positionV relativeFrom="paragraph">
                  <wp:posOffset>-324485</wp:posOffset>
                </wp:positionV>
                <wp:extent cx="2171700" cy="78168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81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3256" w:rsidRDefault="009E3256" w:rsidP="009E325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-25.55pt;width:171pt;height:61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EdWtw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" filled="f" stroked="f">
                <v:textbox>
                  <w:txbxContent>
                    <w:p w:rsidR="009E3256" w:rsidRDefault="009E3256" w:rsidP="009E3256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3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pPr w:leftFromText="180" w:rightFromText="180" w:vertAnchor="text" w:horzAnchor="margin" w:tblpY="-85"/>
        <w:tblW w:w="9435" w:type="dxa"/>
        <w:tblLayout w:type="fixed"/>
        <w:tblLook w:val="04A0" w:firstRow="1" w:lastRow="0" w:firstColumn="1" w:lastColumn="0" w:noHBand="0" w:noVBand="1"/>
      </w:tblPr>
      <w:tblGrid>
        <w:gridCol w:w="9435"/>
      </w:tblGrid>
      <w:tr w:rsidR="009E3256" w:rsidRPr="009E3256" w:rsidTr="009E3256">
        <w:trPr>
          <w:cantSplit/>
          <w:trHeight w:val="333"/>
        </w:trPr>
        <w:tc>
          <w:tcPr>
            <w:tcW w:w="9435" w:type="dxa"/>
          </w:tcPr>
          <w:p w:rsidR="009E3256" w:rsidRPr="009E3256" w:rsidRDefault="00B13D0E" w:rsidP="009E3256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77pt;margin-top:-16.8pt;width:57pt;height:63pt;z-index:-251657728;mso-wrap-edited:f" wrapcoords="-284 0 -284 21278 21600 21278 21600 0 -284 0" fillcolor="window">
                  <v:imagedata r:id="rId6" o:title=""/>
                </v:shape>
                <o:OLEObject Type="Embed" ProgID="Word.Picture.8" ShapeID="_x0000_s1026" DrawAspect="Content" ObjectID="_1732447004" r:id="rId7"/>
              </w:pict>
            </w:r>
            <w:r w:rsidR="009E3256" w:rsidRPr="009E3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«Покча»  </w:t>
            </w:r>
            <w:proofErr w:type="spellStart"/>
            <w:r w:rsidR="009E3256" w:rsidRPr="009E3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="009E3256" w:rsidRPr="009E3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E3256" w:rsidRPr="009E3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овмӧдчӧминса</w:t>
            </w:r>
            <w:proofErr w:type="spellEnd"/>
            <w:r w:rsidR="009E3256" w:rsidRPr="009E3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                      </w:t>
            </w:r>
            <w:r w:rsidR="009E3256" w:rsidRPr="009E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муниципального образования  </w:t>
            </w:r>
          </w:p>
          <w:p w:rsidR="009E3256" w:rsidRPr="009E3256" w:rsidRDefault="009E3256" w:rsidP="009E3256">
            <w:pPr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2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9E32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9E32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9E32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9E3256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                                                          </w:t>
            </w:r>
            <w:r w:rsidRPr="009E32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сельского поселения</w:t>
            </w:r>
          </w:p>
          <w:p w:rsidR="009E3256" w:rsidRPr="009E3256" w:rsidRDefault="009E3256" w:rsidP="009E3256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3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proofErr w:type="spellStart"/>
            <w:proofErr w:type="gramStart"/>
            <w:r w:rsidRPr="009E3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  <w:r w:rsidRPr="009E3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Pr="009E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«Покча»                                                     </w:t>
            </w:r>
          </w:p>
          <w:p w:rsidR="009E3256" w:rsidRPr="009E3256" w:rsidRDefault="009E3256" w:rsidP="009E3256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</w:t>
            </w:r>
          </w:p>
          <w:p w:rsidR="009E3256" w:rsidRPr="009E3256" w:rsidRDefault="009E3256" w:rsidP="009E3256">
            <w:pPr>
              <w:tabs>
                <w:tab w:val="left" w:pos="708"/>
                <w:tab w:val="center" w:pos="4677"/>
                <w:tab w:val="right" w:pos="9355"/>
              </w:tabs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E3256" w:rsidRPr="009E3256" w:rsidRDefault="009E3256" w:rsidP="009E3256">
            <w:pPr>
              <w:tabs>
                <w:tab w:val="left" w:pos="2340"/>
                <w:tab w:val="center" w:pos="4807"/>
                <w:tab w:val="right" w:pos="9355"/>
              </w:tabs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3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ПОМШУÖМ</w:t>
            </w:r>
          </w:p>
          <w:p w:rsidR="009E3256" w:rsidRPr="009E3256" w:rsidRDefault="009E3256" w:rsidP="009E3256">
            <w:pPr>
              <w:tabs>
                <w:tab w:val="left" w:pos="708"/>
                <w:tab w:val="center" w:pos="4677"/>
                <w:tab w:val="right" w:pos="9355"/>
              </w:tabs>
              <w:autoSpaceDN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3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РЕШЕНИЕ</w:t>
            </w:r>
          </w:p>
          <w:p w:rsidR="009E3256" w:rsidRPr="009E3256" w:rsidRDefault="009E3256" w:rsidP="009E3256">
            <w:pPr>
              <w:tabs>
                <w:tab w:val="left" w:pos="708"/>
                <w:tab w:val="center" w:pos="4677"/>
                <w:tab w:val="right" w:pos="9355"/>
              </w:tabs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E3256" w:rsidRPr="009E3256" w:rsidRDefault="009E3256" w:rsidP="009E3256">
            <w:pPr>
              <w:tabs>
                <w:tab w:val="left" w:pos="708"/>
                <w:tab w:val="center" w:pos="4677"/>
                <w:tab w:val="right" w:pos="9355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E3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B13D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 19</w:t>
            </w:r>
            <w:r w:rsidRPr="009E32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13D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дека</w:t>
            </w:r>
            <w:r w:rsidRPr="009E32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бря 2022  года</w:t>
            </w:r>
            <w:r w:rsidRPr="009E3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9E32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№ </w:t>
            </w:r>
            <w:r w:rsidR="004E53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5-1</w:t>
            </w:r>
            <w:r w:rsidR="00B13D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5/1</w:t>
            </w:r>
            <w:r w:rsidRPr="009E32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9E3256" w:rsidRPr="009E3256" w:rsidRDefault="009E3256" w:rsidP="009E3256">
            <w:pPr>
              <w:tabs>
                <w:tab w:val="left" w:pos="708"/>
                <w:tab w:val="center" w:pos="4677"/>
                <w:tab w:val="right" w:pos="9355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9E3256" w:rsidRPr="009E3256" w:rsidRDefault="009E3256" w:rsidP="009E3256">
            <w:pPr>
              <w:tabs>
                <w:tab w:val="left" w:pos="708"/>
                <w:tab w:val="center" w:pos="4677"/>
                <w:tab w:val="right" w:pos="9355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9E3256" w:rsidRPr="009E3256" w:rsidRDefault="009E3256" w:rsidP="009E3256">
            <w:pPr>
              <w:tabs>
                <w:tab w:val="left" w:pos="708"/>
                <w:tab w:val="center" w:pos="4677"/>
                <w:tab w:val="right" w:pos="9355"/>
              </w:tabs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25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Коми, село Покча</w:t>
            </w:r>
          </w:p>
          <w:p w:rsidR="009E3256" w:rsidRPr="009E3256" w:rsidRDefault="009E3256" w:rsidP="009E3256">
            <w:pPr>
              <w:tabs>
                <w:tab w:val="left" w:pos="708"/>
                <w:tab w:val="center" w:pos="4677"/>
                <w:tab w:val="right" w:pos="9355"/>
              </w:tabs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256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Троицко – Печорский район</w:t>
            </w:r>
          </w:p>
          <w:p w:rsidR="009E3256" w:rsidRPr="009E3256" w:rsidRDefault="009E3256" w:rsidP="009E3256">
            <w:pPr>
              <w:widowControl w:val="0"/>
              <w:tabs>
                <w:tab w:val="left" w:pos="580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бюджете муниципального образования 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 «Покча» 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13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2023 год и плановый период 2024 и 2025 годов»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основные характеристики бюджета муниципального образования сельского поселения «Покча» (далее – бюджет сельского поселения) на 2023 год:</w:t>
      </w:r>
    </w:p>
    <w:p w:rsidR="00B13D0E" w:rsidRPr="00B13D0E" w:rsidRDefault="00B13D0E" w:rsidP="00B13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доходов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5 877 351,0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расходов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5 877 351,0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 в сумме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0,0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основные характеристики бюджета сельского поселения на 2024 год и на 2025 год:</w:t>
      </w:r>
    </w:p>
    <w:p w:rsidR="00B13D0E" w:rsidRPr="00B13D0E" w:rsidRDefault="00B13D0E" w:rsidP="00B13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доходов на 2024 год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4 605 182,0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 на 2025 год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5 259 982,0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</w:p>
    <w:p w:rsidR="00B13D0E" w:rsidRPr="00B13D0E" w:rsidRDefault="00B13D0E" w:rsidP="00B13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расходов на 2024 год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4 605 182,0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 на 2025 год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5 259 982,0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 на 2024 год в сумме 0 рублей и на 2025 год в сумме 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Утвердить общий объем условно утвержденных расходов на 2024 год в сумме 130 000,0 рублей и на 2025 год в сумме 260 000,0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Утвердить общий объем бюджетных ассигнований, направляемых на исполнение публичных нормативных обязательств муниципального образования сельского поселения «Покча» (далее – сельского поселения) на 2023 год в сумме 0 рублей, на 2024 год – в сумме 0 рублей и на 2025 год – в сумме 0 рублей.</w:t>
      </w:r>
    </w:p>
    <w:p w:rsidR="00B13D0E" w:rsidRPr="00B13D0E" w:rsidRDefault="00B13D0E" w:rsidP="00B13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5. Утвердить объем безвозмездных поступлений в бюджет сельского поселения в 2023 году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5 798 372,0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5 798 372,0 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B13D0E" w:rsidRPr="00B13D0E" w:rsidRDefault="00B13D0E" w:rsidP="00B13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Утвердить объем безвозмездных поступлений в бюджет сельского поселения в 2024 году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4 526 203,0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4 526 203,0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B13D0E" w:rsidRPr="00B13D0E" w:rsidRDefault="00B13D0E" w:rsidP="00B13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Утвердить объем безвозмездных поступлений в бюджет сельского поселения в 2025 году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5 181 003,00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B13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5 181 003,00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Утвердить объем межбюджетных трансфертов, предоставляемых из бюджета сельского поселения другим бюджетам бюджетной системы Российской Федерации в 2023 году, в сумме 1 403,0 рублей, в том числе объем межбюджетных трансфертов бюджету муниципального района «Троицко-Печорский» в сумме 1 403,0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объем межбюджетных трансфертов, предоставляемых из бюджета сельского поселения другим бюджетам бюджетной системы Российской Федерации в 2024 году, в сумме 500,0 рублей, в том числе объем межбюджетных трансфертов бюджету муниципального района «Троицко-Печорский» в сумме 500,0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объем межбюджетных трансфертов, предоставляемых из бюджета сельского поселения другим бюджетам бюджетной системы Российской Федерации в 2025 году, в сумме 500,0 рублей, в том числе объем межбюджетных трансфертов бюджету муниципального района «Троицко-Печорский» в сумме 500,0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Утвердить объем поступлений доходов в бюджет сельского поселения на 2023 год и плановый период 2024 и 2025 годов в суммах согласно приложению 1 к настоящему Решению.</w:t>
      </w:r>
    </w:p>
    <w:p w:rsidR="00B13D0E" w:rsidRPr="00B13D0E" w:rsidRDefault="00B13D0E" w:rsidP="00B13D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Утвердить распределение бюджетных ассигнований по целевым статьям (непрограммным направлениям деятельности), группам </w:t>
      </w:r>
      <w:proofErr w:type="gramStart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расходов классификации расходов бюджетов Российской Федерации</w:t>
      </w:r>
      <w:proofErr w:type="gramEnd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2023 год и плановый период 2024 и 2025 годов согласно приложению 2 к настоящему Решению.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9. Утвердить ведомственную структуру расходов бюджета сельского поселения на 2023 год и плановый период 2024 и 2025 годов согласно приложению 3 к настоящему Решению.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Утвердить источники финансирования дефицита бюджета сельского поселения на 2023 год и плановый период 2024 и 2025 годов согласно приложению 4 к настоящему Решению. 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Установить верхний предел муниципального внутреннего долга сельского поселения по состоянию на 1 января 2024 года в сумме 0 рублей, в том числе верхний предел долга по муниципальным гарантиям сельского поселения в сумме 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верхний предел муниципального внутреннего долга сельского поселения по состоянию на 1 января 2025 года в сумме 0 рублей, в том числе верхний предел долга по муниципальным гарантиям сельского поселения в сумме 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верхний предел муниципального внутреннего долга сельского поселения по состоянию на 1 января 2026 года в сумме 0 рублей, в том числе верхний предел долга по муниципальным гарантиям сельского поселения в сумме 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12. Утвердить объем расходов на обслуживание муниципального долга сельского поселения в 2023 году в сумме 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объем расходов на обслуживание муниципального долга сельского поселения в 2024 году в сумме 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объем расходов на обслуживание муниципального долга сельского поселения в 2025 году в сумме 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13. Утвердить общий объем бюджетных ассигнований на возможное исполнение муниципальных гарантий сельского поселения в 2023 году в сумме 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общий объем бюджетных ассигнований на возможное исполнение муниципальных гарантий сельского поселения в 2024 году в сумме 0 рублей и в 2025 году в сумме 0 рублей.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Утвердить программу муниципальных внутренних заимствований сельского поселения на 2023 год и плановый период 2024 и 2025 годов согласно приложению 5 к настоящему Решению.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15. Утвердить программу муниципальных гарантий сельского поселения в валюте Российской Федерации на 2023 год и плановый период 2024 и 2025 годов согласно приложению 6 к настоящему Решению.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proofErr w:type="gramStart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юридическим лицам (за исключением субсидий муниципальным учреждениям, а также субсидий, указанных в пунктах 6 - 8 статьи 78 Бюджетного кодекса 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Федерации), индивидуальным предпринимателям, а также физическим лицам – производителям товаров, работ, услуг, предусмотренные настоящим Решением, предоставляются в случаях и порядке, предусмотренных настоящим Решением и принимаемыми в соответствии с ним нормативными правовыми актами администрации сельского поселения, с учетом требований, установленных статьей</w:t>
      </w:r>
      <w:proofErr w:type="gramEnd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78 Бюджетного кодекса Российской Федерации.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proofErr w:type="gramStart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в соответствии с пунктом 8 статьи 217 Бюджетного кодекса Российской Федерации и пунктом 6 статьи 13 Решения Совета сельского поселения «Покча» «О бюджетном процессе в муниципальном образовании сельского поселения «Покча» в 2023 году в показатели сводной бюджетной росписи бюджета сельского поселения могут быть внесены изменения по следующим дополнительным основаниям:</w:t>
      </w:r>
      <w:proofErr w:type="gramEnd"/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1)  распределение главным распорядителям бюджетных средств остатков средств бюджета сельского поселения, образовавшихся на 1 января 2023 года за счет не использованных в 2022 году межбюджетных трансфертов, полученных в форме субсидий и иных межбюджетных трансфертов, имеющих целевое назначение;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внесение Министерством финансов Российской Федерации изменений в Порядок формирования и применения кодов бюджетной классификации Российской Федерации, их структуру и принципов назначения,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расходов, полученных в форме субсидий, субвенций, иных межбюджетных трансфертов, имеющих целевое назначение, Министерством финансов</w:t>
      </w:r>
      <w:proofErr w:type="gramEnd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Коми изменений в Порядок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 в части отражения расходов по кодам разделов, подразделов, видов расходов, а также в части отражения расходов, осуществляемых за счет межбюджетных трансфертов, полученных в форме субсидий</w:t>
      </w:r>
      <w:proofErr w:type="gramEnd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субвенций и иных межбюджетных трансфертов, имеющих целевое назначение, по кодам целевых статей, видов расходов;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перераспределение бюджетных ассигнований в пределах общего объема бюджетных ассигнований, утвержденного настоящим Решением, в целях реализации региональных проектов, обеспечивающих достижение определенных Президентом Российской Федерации национальных целей (стратегических задач) развития Российской Федерации, на основании соответствующего утвержденного регионального проекта и (или) внесенных изменений в соответствующий региональный проект;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- в пределах общего объема бюджетных ассигнований, предусмотренных главному распорядителю бюджетных сре</w:t>
      </w:r>
      <w:proofErr w:type="gramStart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т</w:t>
      </w:r>
      <w:proofErr w:type="gramEnd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екущем финансовом году.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 </w:t>
      </w:r>
      <w:proofErr w:type="gramStart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в 2023 году изменений в показатели сводной бюджетной росписи бюджета сельского поселения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сельского поселения муниципальных контрактов, подлежавших в соответствии с условиями этих муниципальных контрактов оплате в отчетном финансовом году, осуществляется в случае принятия администрацией сельского поселения</w:t>
      </w:r>
      <w:proofErr w:type="gramEnd"/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об увеличении бюджетных ассигнований главному распорядителю бюджетных средств на оплату указанных в настоящем пункте муниципальных контрактов в пределах свободного остатка средств, образовавшегося на 1 января 2023 года, на счетах по учету средств бюджета сельского поселения.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19. Утвердить распределение межбюджетных трансфертов бюджету 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муниципального района «Троицко-Печорский» на 2023 год и плановый период 2024 и 2025 годов согласно приложению 7 к настоящему Решению.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22. Установить, что в 2023 году не допускается увеличение штатной численности муниципальных служащих сельского поселения, иных работников органов местного самоуправления сельского поселения.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23. Установить, что не использованные по состоянию на 1 января 2023 года остатки межбюджетных трансфертов, предоставленных из бюджета сельского поселения бюджету муниципального района «Троицко-Печорский» в форме иных межбюджетных трансфертов, имеющих целевое назначение, подлежат возврату в бюджет сельского поселения в соответствии с бюджетным законодательством.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Настоящее решение вступает в силу с 1 января 2023 года и подлежит опубликованию (обнародованию). </w:t>
      </w: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D0E" w:rsidRPr="00B13D0E" w:rsidRDefault="00B13D0E" w:rsidP="00B13D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«Покча»</w:t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3D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А.Е. Пивченко </w:t>
      </w:r>
    </w:p>
    <w:p w:rsidR="00746DC4" w:rsidRPr="00B13D0E" w:rsidRDefault="00746DC4" w:rsidP="00B13D0E">
      <w:pPr>
        <w:rPr>
          <w:rFonts w:ascii="Times New Roman" w:hAnsi="Times New Roman" w:cs="Times New Roman"/>
          <w:sz w:val="24"/>
          <w:szCs w:val="24"/>
        </w:rPr>
      </w:pPr>
    </w:p>
    <w:sectPr w:rsidR="00746DC4" w:rsidRPr="00B13D0E" w:rsidSect="009E325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7D6"/>
    <w:rsid w:val="000D5F10"/>
    <w:rsid w:val="00192728"/>
    <w:rsid w:val="0030257E"/>
    <w:rsid w:val="0030475C"/>
    <w:rsid w:val="003F5976"/>
    <w:rsid w:val="004E531A"/>
    <w:rsid w:val="00692FA4"/>
    <w:rsid w:val="00746DC4"/>
    <w:rsid w:val="007F4690"/>
    <w:rsid w:val="009E3256"/>
    <w:rsid w:val="00B13D0E"/>
    <w:rsid w:val="00B46BCB"/>
    <w:rsid w:val="00C33EFD"/>
    <w:rsid w:val="00D847D6"/>
    <w:rsid w:val="00DD4A56"/>
    <w:rsid w:val="00EF00D1"/>
    <w:rsid w:val="00F8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7D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E3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32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7D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E3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3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</dc:creator>
  <cp:lastModifiedBy>User1</cp:lastModifiedBy>
  <cp:revision>15</cp:revision>
  <cp:lastPrinted>2022-11-18T09:22:00Z</cp:lastPrinted>
  <dcterms:created xsi:type="dcterms:W3CDTF">2019-06-18T07:59:00Z</dcterms:created>
  <dcterms:modified xsi:type="dcterms:W3CDTF">2022-12-13T11:30:00Z</dcterms:modified>
</cp:coreProperties>
</file>